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A05D2" w:rsidRDefault="00027226">
      <w:pPr>
        <w:shd w:val="clear" w:color="auto" w:fill="FFFFFF"/>
        <w:rPr>
          <w:rFonts w:ascii="Calibri" w:eastAsia="Calibri" w:hAnsi="Calibri" w:cs="Calibri"/>
          <w:b/>
        </w:rPr>
      </w:pPr>
      <w:r>
        <w:rPr>
          <w:rFonts w:ascii="Calibri" w:eastAsia="Calibri" w:hAnsi="Calibri" w:cs="Calibri"/>
          <w:b/>
        </w:rPr>
        <w:t>NEWS</w:t>
      </w:r>
    </w:p>
    <w:p w14:paraId="00000002" w14:textId="41194268" w:rsidR="004A05D2" w:rsidRDefault="00027226">
      <w:pPr>
        <w:shd w:val="clear" w:color="auto" w:fill="FFFFFF"/>
        <w:rPr>
          <w:rFonts w:ascii="Calibri" w:eastAsia="Calibri" w:hAnsi="Calibri" w:cs="Calibri"/>
        </w:rPr>
      </w:pPr>
      <w:r>
        <w:rPr>
          <w:rFonts w:ascii="Calibri" w:eastAsia="Calibri" w:hAnsi="Calibri" w:cs="Calibri"/>
        </w:rPr>
        <w:t>For Immediate Release</w:t>
      </w:r>
    </w:p>
    <w:p w14:paraId="0115620F" w14:textId="77777777" w:rsidR="005571DD" w:rsidRDefault="005571DD">
      <w:pPr>
        <w:shd w:val="clear" w:color="auto" w:fill="FFFFFF"/>
        <w:rPr>
          <w:rFonts w:ascii="Calibri" w:eastAsia="Calibri" w:hAnsi="Calibri" w:cs="Calibri"/>
        </w:rPr>
      </w:pPr>
    </w:p>
    <w:p w14:paraId="00000003" w14:textId="117F135F" w:rsidR="004A05D2" w:rsidRDefault="00027226">
      <w:pPr>
        <w:shd w:val="clear" w:color="auto" w:fill="FFFFFF"/>
        <w:jc w:val="center"/>
        <w:rPr>
          <w:rFonts w:ascii="Calibri" w:eastAsia="Calibri" w:hAnsi="Calibri" w:cs="Calibri"/>
          <w:b/>
        </w:rPr>
      </w:pPr>
      <w:r>
        <w:rPr>
          <w:rFonts w:ascii="Calibri" w:eastAsia="Calibri" w:hAnsi="Calibri" w:cs="Calibri"/>
        </w:rPr>
        <w:tab/>
      </w:r>
      <w:r w:rsidRPr="00027226">
        <w:rPr>
          <w:rFonts w:ascii="Calibri" w:eastAsia="Calibri" w:hAnsi="Calibri" w:cs="Calibri"/>
          <w:b/>
        </w:rPr>
        <w:t>FLORIDA</w:t>
      </w:r>
      <w:r>
        <w:rPr>
          <w:rFonts w:ascii="Calibri" w:eastAsia="Calibri" w:hAnsi="Calibri" w:cs="Calibri"/>
          <w:b/>
        </w:rPr>
        <w:t xml:space="preserve"> COUNCIL ON COMPULSIVE GAMBLING SPOTLIGHTS DANGERS OF </w:t>
      </w:r>
      <w:r w:rsidR="00FF50B1">
        <w:rPr>
          <w:rFonts w:ascii="Calibri" w:eastAsia="Calibri" w:hAnsi="Calibri" w:cs="Calibri"/>
          <w:b/>
        </w:rPr>
        <w:t>GIFTING LOTTERY TICKETS TO YOUTH IN</w:t>
      </w:r>
      <w:r w:rsidR="00AE1C6A">
        <w:rPr>
          <w:rFonts w:ascii="Calibri" w:eastAsia="Calibri" w:hAnsi="Calibri" w:cs="Calibri"/>
          <w:b/>
        </w:rPr>
        <w:t xml:space="preserve"> </w:t>
      </w:r>
      <w:r>
        <w:rPr>
          <w:rFonts w:ascii="Calibri" w:eastAsia="Calibri" w:hAnsi="Calibri" w:cs="Calibri"/>
          <w:b/>
        </w:rPr>
        <w:t>HOLIDAY CAMPAIGN</w:t>
      </w:r>
    </w:p>
    <w:p w14:paraId="00000005" w14:textId="5FED42FF" w:rsidR="004A05D2" w:rsidRDefault="004A05D2">
      <w:pPr>
        <w:shd w:val="clear" w:color="auto" w:fill="FFFFFF"/>
        <w:rPr>
          <w:rFonts w:ascii="Calibri" w:eastAsia="Calibri" w:hAnsi="Calibri" w:cs="Calibri"/>
        </w:rPr>
      </w:pPr>
    </w:p>
    <w:p w14:paraId="00000007" w14:textId="596637DF" w:rsidR="004A05D2" w:rsidRDefault="00F652E8">
      <w:pPr>
        <w:shd w:val="clear" w:color="auto" w:fill="FFFFFF"/>
        <w:rPr>
          <w:rFonts w:ascii="Calibri" w:eastAsia="Calibri" w:hAnsi="Calibri" w:cs="Calibri"/>
        </w:rPr>
      </w:pPr>
      <w:r>
        <w:rPr>
          <w:rFonts w:ascii="Calibri" w:eastAsia="Calibri" w:hAnsi="Calibri" w:cs="Calibri"/>
        </w:rPr>
        <w:t xml:space="preserve">SANFORD, Fla. - </w:t>
      </w:r>
      <w:r w:rsidRPr="00F652E8">
        <w:rPr>
          <w:rFonts w:ascii="Calibri" w:eastAsia="Calibri" w:hAnsi="Calibri" w:cs="Calibri"/>
        </w:rPr>
        <w:t>The Florida Council</w:t>
      </w:r>
      <w:r>
        <w:rPr>
          <w:rFonts w:ascii="Calibri" w:eastAsia="Calibri" w:hAnsi="Calibri" w:cs="Calibri"/>
        </w:rPr>
        <w:t xml:space="preserve"> on Compulsive Gambling (FCCG)</w:t>
      </w:r>
      <w:r w:rsidRPr="00F652E8">
        <w:rPr>
          <w:rFonts w:ascii="Calibri" w:eastAsia="Calibri" w:hAnsi="Calibri" w:cs="Calibri"/>
        </w:rPr>
        <w:t xml:space="preserve"> is urging parents and adults to </w:t>
      </w:r>
      <w:r>
        <w:rPr>
          <w:rFonts w:ascii="Calibri" w:eastAsia="Calibri" w:hAnsi="Calibri" w:cs="Calibri"/>
        </w:rPr>
        <w:t>avoid gifting lottery tickets and scratch-offs</w:t>
      </w:r>
      <w:r w:rsidRPr="00F652E8">
        <w:rPr>
          <w:rFonts w:ascii="Calibri" w:eastAsia="Calibri" w:hAnsi="Calibri" w:cs="Calibri"/>
        </w:rPr>
        <w:t xml:space="preserve"> </w:t>
      </w:r>
      <w:r>
        <w:rPr>
          <w:rFonts w:ascii="Calibri" w:eastAsia="Calibri" w:hAnsi="Calibri" w:cs="Calibri"/>
        </w:rPr>
        <w:t xml:space="preserve">to </w:t>
      </w:r>
      <w:r w:rsidRPr="00F652E8">
        <w:rPr>
          <w:rFonts w:ascii="Calibri" w:eastAsia="Calibri" w:hAnsi="Calibri" w:cs="Calibri"/>
        </w:rPr>
        <w:t>children this holiday season</w:t>
      </w:r>
      <w:r w:rsidRPr="00F652E8">
        <w:t xml:space="preserve"> </w:t>
      </w:r>
      <w:r w:rsidRPr="00F652E8">
        <w:rPr>
          <w:rFonts w:ascii="Calibri" w:eastAsia="Calibri" w:hAnsi="Calibri" w:cs="Calibri"/>
        </w:rPr>
        <w:t>in partnership with the National Council on Problem Gambling</w:t>
      </w:r>
      <w:r w:rsidR="00AE1C6A">
        <w:rPr>
          <w:rFonts w:ascii="Calibri" w:eastAsia="Calibri" w:hAnsi="Calibri" w:cs="Calibri"/>
        </w:rPr>
        <w:t xml:space="preserve"> (NCPG)</w:t>
      </w:r>
      <w:r w:rsidR="009C0800">
        <w:t xml:space="preserve"> </w:t>
      </w:r>
      <w:r w:rsidR="009C0800" w:rsidRPr="009C0800">
        <w:rPr>
          <w:rFonts w:ascii="Calibri" w:eastAsia="Calibri" w:hAnsi="Calibri" w:cs="Calibri"/>
        </w:rPr>
        <w:t>and the International Centre for Youth Gambling Problems and High-Risk Behaviors at McGill University</w:t>
      </w:r>
      <w:r w:rsidRPr="00F652E8">
        <w:rPr>
          <w:rFonts w:ascii="Calibri" w:eastAsia="Calibri" w:hAnsi="Calibri" w:cs="Calibri"/>
        </w:rPr>
        <w:t>. "The Gift Responsibly campaign, during National Safe Toys and Gifts Awareness Month in December</w:t>
      </w:r>
      <w:r>
        <w:rPr>
          <w:rFonts w:ascii="Calibri" w:eastAsia="Calibri" w:hAnsi="Calibri" w:cs="Calibri"/>
        </w:rPr>
        <w:t>,</w:t>
      </w:r>
      <w:r w:rsidRPr="00F652E8">
        <w:rPr>
          <w:rFonts w:ascii="Calibri" w:eastAsia="Calibri" w:hAnsi="Calibri" w:cs="Calibri"/>
        </w:rPr>
        <w:t xml:space="preserve"> </w:t>
      </w:r>
      <w:r>
        <w:rPr>
          <w:rFonts w:ascii="Calibri" w:eastAsia="Calibri" w:hAnsi="Calibri" w:cs="Calibri"/>
        </w:rPr>
        <w:t xml:space="preserve">aims to shine the light on the </w:t>
      </w:r>
      <w:r w:rsidR="00D87EE6">
        <w:rPr>
          <w:rFonts w:ascii="Calibri" w:eastAsia="Calibri" w:hAnsi="Calibri" w:cs="Calibri"/>
        </w:rPr>
        <w:t xml:space="preserve">serious </w:t>
      </w:r>
      <w:r>
        <w:rPr>
          <w:rFonts w:ascii="Calibri" w:eastAsia="Calibri" w:hAnsi="Calibri" w:cs="Calibri"/>
        </w:rPr>
        <w:t>risks of gifting lottery products to children</w:t>
      </w:r>
      <w:r w:rsidRPr="00F652E8">
        <w:rPr>
          <w:rFonts w:ascii="Calibri" w:eastAsia="Calibri" w:hAnsi="Calibri" w:cs="Calibri"/>
        </w:rPr>
        <w:t>," explained Jennifer Kruse, Executive Director of the FCCG. Research findings show a direct relationship with receiving lottery tickets and scratch</w:t>
      </w:r>
      <w:r w:rsidR="00D87EE6">
        <w:rPr>
          <w:rFonts w:ascii="Calibri" w:eastAsia="Calibri" w:hAnsi="Calibri" w:cs="Calibri"/>
        </w:rPr>
        <w:t>-</w:t>
      </w:r>
      <w:r w:rsidRPr="00F652E8">
        <w:rPr>
          <w:rFonts w:ascii="Calibri" w:eastAsia="Calibri" w:hAnsi="Calibri" w:cs="Calibri"/>
        </w:rPr>
        <w:t>offs during childhood with risky, problematic gambling later in life [1]. "</w:t>
      </w:r>
      <w:r w:rsidR="00D87EE6">
        <w:rPr>
          <w:rFonts w:ascii="Calibri" w:eastAsia="Calibri" w:hAnsi="Calibri" w:cs="Calibri"/>
        </w:rPr>
        <w:t xml:space="preserve">Lottery gambling in Florida is restricted to adults by law for a reason. As new gambling products </w:t>
      </w:r>
      <w:proofErr w:type="gramStart"/>
      <w:r w:rsidR="00D87EE6">
        <w:rPr>
          <w:rFonts w:ascii="Calibri" w:eastAsia="Calibri" w:hAnsi="Calibri" w:cs="Calibri"/>
        </w:rPr>
        <w:t>are introduced</w:t>
      </w:r>
      <w:proofErr w:type="gramEnd"/>
      <w:r w:rsidR="00D87EE6">
        <w:rPr>
          <w:rFonts w:ascii="Calibri" w:eastAsia="Calibri" w:hAnsi="Calibri" w:cs="Calibri"/>
        </w:rPr>
        <w:t xml:space="preserve"> with increasing accessibility, undera</w:t>
      </w:r>
      <w:bookmarkStart w:id="0" w:name="_GoBack"/>
      <w:bookmarkEnd w:id="0"/>
      <w:r w:rsidR="00D87EE6">
        <w:rPr>
          <w:rFonts w:ascii="Calibri" w:eastAsia="Calibri" w:hAnsi="Calibri" w:cs="Calibri"/>
        </w:rPr>
        <w:t>ge gambling is a growing concern.</w:t>
      </w:r>
      <w:r w:rsidRPr="00F652E8">
        <w:rPr>
          <w:rFonts w:ascii="Calibri" w:eastAsia="Calibri" w:hAnsi="Calibri" w:cs="Calibri"/>
        </w:rPr>
        <w:t xml:space="preserve"> </w:t>
      </w:r>
      <w:r w:rsidR="00D87EE6">
        <w:rPr>
          <w:rFonts w:ascii="Calibri" w:eastAsia="Calibri" w:hAnsi="Calibri" w:cs="Calibri"/>
        </w:rPr>
        <w:t>We can all do our part this holiday season by</w:t>
      </w:r>
      <w:r w:rsidRPr="00F652E8">
        <w:rPr>
          <w:rFonts w:ascii="Calibri" w:eastAsia="Calibri" w:hAnsi="Calibri" w:cs="Calibri"/>
        </w:rPr>
        <w:t xml:space="preserve"> be</w:t>
      </w:r>
      <w:r w:rsidR="00D87EE6">
        <w:rPr>
          <w:rFonts w:ascii="Calibri" w:eastAsia="Calibri" w:hAnsi="Calibri" w:cs="Calibri"/>
        </w:rPr>
        <w:t>ing</w:t>
      </w:r>
      <w:r w:rsidRPr="00F652E8">
        <w:rPr>
          <w:rFonts w:ascii="Calibri" w:eastAsia="Calibri" w:hAnsi="Calibri" w:cs="Calibri"/>
        </w:rPr>
        <w:t xml:space="preserve"> attentive to the gifts we select for children," Kruse added.</w:t>
      </w:r>
    </w:p>
    <w:p w14:paraId="6FF2C66C" w14:textId="77777777" w:rsidR="005571DD" w:rsidRDefault="005571DD">
      <w:pPr>
        <w:shd w:val="clear" w:color="auto" w:fill="FFFFFF"/>
        <w:rPr>
          <w:rFonts w:ascii="Calibri" w:eastAsia="Calibri" w:hAnsi="Calibri" w:cs="Calibri"/>
        </w:rPr>
      </w:pPr>
    </w:p>
    <w:p w14:paraId="00000008" w14:textId="1B429AF9" w:rsidR="004A05D2" w:rsidRDefault="00027226">
      <w:pPr>
        <w:shd w:val="clear" w:color="auto" w:fill="FFFFFF"/>
        <w:rPr>
          <w:rFonts w:ascii="Calibri" w:eastAsia="Calibri" w:hAnsi="Calibri" w:cs="Calibri"/>
        </w:rPr>
      </w:pPr>
      <w:r>
        <w:rPr>
          <w:rFonts w:ascii="Calibri" w:eastAsia="Calibri" w:hAnsi="Calibri" w:cs="Calibri"/>
        </w:rPr>
        <w:t xml:space="preserve">The campaign strongly urges parents, family members, and caregivers to leave lottery </w:t>
      </w:r>
      <w:r w:rsidR="00AE1C6A">
        <w:rPr>
          <w:rFonts w:ascii="Calibri" w:eastAsia="Calibri" w:hAnsi="Calibri" w:cs="Calibri"/>
        </w:rPr>
        <w:t xml:space="preserve">tickets </w:t>
      </w:r>
      <w:r>
        <w:rPr>
          <w:rFonts w:ascii="Calibri" w:eastAsia="Calibri" w:hAnsi="Calibri" w:cs="Calibri"/>
        </w:rPr>
        <w:t xml:space="preserve">off children’s gift lists, and helps to raise awareness of the dangers of youth gambling. </w:t>
      </w:r>
    </w:p>
    <w:p w14:paraId="00000009" w14:textId="77777777" w:rsidR="004A05D2" w:rsidRDefault="004A05D2">
      <w:pPr>
        <w:shd w:val="clear" w:color="auto" w:fill="FFFFFF"/>
        <w:rPr>
          <w:rFonts w:ascii="Calibri" w:eastAsia="Calibri" w:hAnsi="Calibri" w:cs="Calibri"/>
        </w:rPr>
      </w:pPr>
    </w:p>
    <w:p w14:paraId="228C0552" w14:textId="7418AB2F" w:rsidR="005571DD" w:rsidRDefault="00FF50B1" w:rsidP="00986C18">
      <w:pPr>
        <w:shd w:val="clear" w:color="auto" w:fill="FFFFFF"/>
        <w:rPr>
          <w:rFonts w:ascii="Calibri" w:eastAsia="Calibri" w:hAnsi="Calibri" w:cs="Calibri"/>
        </w:rPr>
      </w:pPr>
      <w:r>
        <w:rPr>
          <w:rFonts w:ascii="Calibri" w:eastAsia="Calibri" w:hAnsi="Calibri" w:cs="Calibri"/>
        </w:rPr>
        <w:t>To help understand the risks of</w:t>
      </w:r>
      <w:r w:rsidR="00027226">
        <w:rPr>
          <w:rFonts w:ascii="Calibri" w:eastAsia="Calibri" w:hAnsi="Calibri" w:cs="Calibri"/>
        </w:rPr>
        <w:t xml:space="preserve"> </w:t>
      </w:r>
      <w:proofErr w:type="gramStart"/>
      <w:r>
        <w:rPr>
          <w:rFonts w:ascii="Calibri" w:eastAsia="Calibri" w:hAnsi="Calibri" w:cs="Calibri"/>
        </w:rPr>
        <w:t>gifting lottery products to</w:t>
      </w:r>
      <w:proofErr w:type="gramEnd"/>
      <w:r>
        <w:rPr>
          <w:rFonts w:ascii="Calibri" w:eastAsia="Calibri" w:hAnsi="Calibri" w:cs="Calibri"/>
        </w:rPr>
        <w:t xml:space="preserve"> children</w:t>
      </w:r>
      <w:r w:rsidR="00027226">
        <w:rPr>
          <w:rFonts w:ascii="Calibri" w:eastAsia="Calibri" w:hAnsi="Calibri" w:cs="Calibri"/>
        </w:rPr>
        <w:t xml:space="preserve">, </w:t>
      </w:r>
      <w:r>
        <w:rPr>
          <w:rFonts w:ascii="Calibri" w:eastAsia="Calibri" w:hAnsi="Calibri" w:cs="Calibri"/>
        </w:rPr>
        <w:t>consider these</w:t>
      </w:r>
      <w:r w:rsidR="00027226">
        <w:rPr>
          <w:rFonts w:ascii="Calibri" w:eastAsia="Calibri" w:hAnsi="Calibri" w:cs="Calibri"/>
        </w:rPr>
        <w:t xml:space="preserve"> alarming statistics that speak to the inherent dangers and </w:t>
      </w:r>
      <w:r>
        <w:rPr>
          <w:rFonts w:ascii="Calibri" w:eastAsia="Calibri" w:hAnsi="Calibri" w:cs="Calibri"/>
        </w:rPr>
        <w:t xml:space="preserve">consequences </w:t>
      </w:r>
      <w:r w:rsidR="00027226">
        <w:rPr>
          <w:rFonts w:ascii="Calibri" w:eastAsia="Calibri" w:hAnsi="Calibri" w:cs="Calibri"/>
        </w:rPr>
        <w:t xml:space="preserve">associated with youth gambling. </w:t>
      </w:r>
      <w:r w:rsidR="00986C18">
        <w:rPr>
          <w:rFonts w:ascii="Calibri" w:eastAsia="Calibri" w:hAnsi="Calibri" w:cs="Calibri"/>
        </w:rPr>
        <w:t>D</w:t>
      </w:r>
      <w:r w:rsidR="00986C18" w:rsidRPr="00986C18">
        <w:rPr>
          <w:rFonts w:ascii="Calibri" w:eastAsia="Calibri" w:hAnsi="Calibri" w:cs="Calibri"/>
        </w:rPr>
        <w:t xml:space="preserve">espite the legal gambling age of 18, Florida prevalence research revealed 18.5% of </w:t>
      </w:r>
      <w:proofErr w:type="gramStart"/>
      <w:r w:rsidR="00986C18" w:rsidRPr="00986C18">
        <w:rPr>
          <w:rFonts w:ascii="Calibri" w:eastAsia="Calibri" w:hAnsi="Calibri" w:cs="Calibri"/>
        </w:rPr>
        <w:t>adolescents</w:t>
      </w:r>
      <w:proofErr w:type="gramEnd"/>
      <w:r w:rsidR="00986C18" w:rsidRPr="00986C18">
        <w:rPr>
          <w:rFonts w:ascii="Calibri" w:eastAsia="Calibri" w:hAnsi="Calibri" w:cs="Calibri"/>
        </w:rPr>
        <w:t xml:space="preserve"> ages 13-17 reported purchasing lottery tickets in their lifetime an</w:t>
      </w:r>
      <w:r w:rsidR="00CB6323">
        <w:rPr>
          <w:rFonts w:ascii="Calibri" w:eastAsia="Calibri" w:hAnsi="Calibri" w:cs="Calibri"/>
        </w:rPr>
        <w:t>d 12.5% within the past year</w:t>
      </w:r>
      <w:r w:rsidR="00986C18" w:rsidRPr="00986C18">
        <w:rPr>
          <w:rFonts w:ascii="Calibri" w:eastAsia="Calibri" w:hAnsi="Calibri" w:cs="Calibri"/>
        </w:rPr>
        <w:t>.</w:t>
      </w:r>
      <w:r w:rsidR="00986C18">
        <w:rPr>
          <w:rFonts w:ascii="Calibri" w:eastAsia="Calibri" w:hAnsi="Calibri" w:cs="Calibri"/>
        </w:rPr>
        <w:t xml:space="preserve"> In addition, the study found [2</w:t>
      </w:r>
      <w:r w:rsidR="00986C18" w:rsidRPr="00986C18">
        <w:rPr>
          <w:rFonts w:ascii="Calibri" w:eastAsia="Calibri" w:hAnsi="Calibri" w:cs="Calibri"/>
        </w:rPr>
        <w:t>]:</w:t>
      </w:r>
    </w:p>
    <w:p w14:paraId="0FE7B373" w14:textId="77777777" w:rsidR="005571DD" w:rsidRPr="00986C18" w:rsidRDefault="005571DD" w:rsidP="00986C18">
      <w:pPr>
        <w:shd w:val="clear" w:color="auto" w:fill="FFFFFF"/>
        <w:rPr>
          <w:rFonts w:ascii="Calibri" w:eastAsia="Calibri" w:hAnsi="Calibri" w:cs="Calibri"/>
        </w:rPr>
      </w:pPr>
    </w:p>
    <w:p w14:paraId="15675213" w14:textId="268BF74C" w:rsidR="00986C18" w:rsidRDefault="00986C18" w:rsidP="005571DD">
      <w:pPr>
        <w:pStyle w:val="ListParagraph"/>
        <w:numPr>
          <w:ilvl w:val="0"/>
          <w:numId w:val="6"/>
        </w:numPr>
        <w:shd w:val="clear" w:color="auto" w:fill="FFFFFF"/>
        <w:rPr>
          <w:rFonts w:ascii="Calibri" w:eastAsia="Calibri" w:hAnsi="Calibri" w:cs="Calibri"/>
        </w:rPr>
      </w:pPr>
      <w:r>
        <w:rPr>
          <w:rFonts w:ascii="Calibri" w:eastAsia="Calibri" w:hAnsi="Calibri" w:cs="Calibri"/>
        </w:rPr>
        <w:t>L</w:t>
      </w:r>
      <w:r w:rsidRPr="00986C18">
        <w:rPr>
          <w:rFonts w:ascii="Calibri" w:eastAsia="Calibri" w:hAnsi="Calibri" w:cs="Calibri"/>
        </w:rPr>
        <w:t>ifetime participation in gambling was almost 70% among Florida residents, ages 13 to 17.</w:t>
      </w:r>
    </w:p>
    <w:p w14:paraId="5E83CF31" w14:textId="1F22CEE1" w:rsidR="00986C18" w:rsidRPr="005571DD" w:rsidRDefault="00986C18" w:rsidP="005571DD">
      <w:pPr>
        <w:pStyle w:val="ListParagraph"/>
        <w:numPr>
          <w:ilvl w:val="0"/>
          <w:numId w:val="6"/>
        </w:numPr>
        <w:shd w:val="clear" w:color="auto" w:fill="FFFFFF"/>
        <w:rPr>
          <w:rFonts w:ascii="Calibri" w:eastAsia="Calibri" w:hAnsi="Calibri" w:cs="Calibri"/>
        </w:rPr>
      </w:pPr>
      <w:r w:rsidRPr="005571DD">
        <w:rPr>
          <w:rFonts w:ascii="Calibri" w:eastAsia="Calibri" w:hAnsi="Calibri" w:cs="Calibri"/>
        </w:rPr>
        <w:t>Over 40% reported gambling in the past year and 11.5% identified as weekly gamblers.</w:t>
      </w:r>
    </w:p>
    <w:p w14:paraId="01B069D0" w14:textId="46DBEC83" w:rsidR="00986C18" w:rsidRDefault="00986C18" w:rsidP="005571DD">
      <w:pPr>
        <w:pStyle w:val="ListParagraph"/>
        <w:numPr>
          <w:ilvl w:val="0"/>
          <w:numId w:val="6"/>
        </w:numPr>
        <w:shd w:val="clear" w:color="auto" w:fill="FFFFFF"/>
        <w:rPr>
          <w:rFonts w:ascii="Calibri" w:eastAsia="Calibri" w:hAnsi="Calibri" w:cs="Calibri"/>
        </w:rPr>
      </w:pPr>
      <w:r w:rsidRPr="005571DD">
        <w:rPr>
          <w:rFonts w:ascii="Calibri" w:eastAsia="Calibri" w:hAnsi="Calibri" w:cs="Calibri"/>
        </w:rPr>
        <w:t>Adolescent problem gamblers also had much higher rates of alcohol, drug, and tobacco use.</w:t>
      </w:r>
    </w:p>
    <w:p w14:paraId="7E0D3E18" w14:textId="77777777" w:rsidR="005571DD" w:rsidRDefault="005571DD" w:rsidP="005571DD">
      <w:pPr>
        <w:pStyle w:val="ListParagraph"/>
        <w:shd w:val="clear" w:color="auto" w:fill="FFFFFF"/>
        <w:rPr>
          <w:rFonts w:ascii="Calibri" w:eastAsia="Calibri" w:hAnsi="Calibri" w:cs="Calibri"/>
        </w:rPr>
      </w:pPr>
    </w:p>
    <w:p w14:paraId="203BB65A" w14:textId="5D141D1F" w:rsidR="003E61CF" w:rsidRDefault="003E61CF" w:rsidP="003E61CF">
      <w:pPr>
        <w:shd w:val="clear" w:color="auto" w:fill="FFFFFF"/>
        <w:rPr>
          <w:rFonts w:ascii="Calibri" w:eastAsia="Calibri" w:hAnsi="Calibri" w:cs="Calibri"/>
        </w:rPr>
      </w:pPr>
      <w:r>
        <w:rPr>
          <w:rFonts w:ascii="Calibri" w:eastAsia="Calibri" w:hAnsi="Calibri" w:cs="Calibri"/>
        </w:rPr>
        <w:t>Nationally, according to the NCPG [3]:</w:t>
      </w:r>
    </w:p>
    <w:p w14:paraId="67AE1895" w14:textId="77777777" w:rsidR="005571DD" w:rsidRDefault="005571DD" w:rsidP="003E61CF">
      <w:pPr>
        <w:shd w:val="clear" w:color="auto" w:fill="FFFFFF"/>
        <w:rPr>
          <w:rFonts w:ascii="Calibri" w:eastAsia="Calibri" w:hAnsi="Calibri" w:cs="Calibri"/>
        </w:rPr>
      </w:pPr>
    </w:p>
    <w:p w14:paraId="05A7A097" w14:textId="77777777" w:rsidR="003E61CF" w:rsidRPr="003E61CF" w:rsidRDefault="003E61CF" w:rsidP="003E61CF">
      <w:pPr>
        <w:pStyle w:val="ListParagraph"/>
        <w:numPr>
          <w:ilvl w:val="0"/>
          <w:numId w:val="7"/>
        </w:numPr>
        <w:shd w:val="clear" w:color="auto" w:fill="FFFFFF"/>
        <w:rPr>
          <w:rFonts w:ascii="Calibri" w:eastAsia="Calibri" w:hAnsi="Calibri" w:cs="Calibri"/>
        </w:rPr>
      </w:pPr>
      <w:r w:rsidRPr="003E61CF">
        <w:rPr>
          <w:rFonts w:ascii="Calibri" w:eastAsia="Calibri" w:hAnsi="Calibri" w:cs="Calibri"/>
        </w:rPr>
        <w:t>Ten to 14 percent of adolescents are at-risk for developing a problem with gambling.</w:t>
      </w:r>
    </w:p>
    <w:p w14:paraId="0AC864C0" w14:textId="77777777" w:rsidR="003E61CF" w:rsidRPr="003E61CF" w:rsidRDefault="003E61CF" w:rsidP="003E61CF">
      <w:pPr>
        <w:pStyle w:val="ListParagraph"/>
        <w:numPr>
          <w:ilvl w:val="0"/>
          <w:numId w:val="7"/>
        </w:numPr>
        <w:shd w:val="clear" w:color="auto" w:fill="FFFFFF"/>
        <w:rPr>
          <w:rFonts w:ascii="Calibri" w:eastAsia="Calibri" w:hAnsi="Calibri" w:cs="Calibri"/>
        </w:rPr>
      </w:pPr>
      <w:r w:rsidRPr="003E61CF">
        <w:rPr>
          <w:rFonts w:ascii="Calibri" w:eastAsia="Calibri" w:hAnsi="Calibri" w:cs="Calibri"/>
        </w:rPr>
        <w:t>While male adolescents gamble more frequently than females, female adolescents are more actively involved in lottery play.</w:t>
      </w:r>
    </w:p>
    <w:p w14:paraId="18DECCA4" w14:textId="0E16EA22" w:rsidR="003E61CF" w:rsidRPr="005571DD" w:rsidRDefault="003E61CF" w:rsidP="005571DD">
      <w:pPr>
        <w:pStyle w:val="ListParagraph"/>
        <w:numPr>
          <w:ilvl w:val="0"/>
          <w:numId w:val="7"/>
        </w:numPr>
        <w:shd w:val="clear" w:color="auto" w:fill="FFFFFF"/>
        <w:rPr>
          <w:rFonts w:ascii="Calibri" w:eastAsia="Calibri" w:hAnsi="Calibri" w:cs="Calibri"/>
        </w:rPr>
      </w:pPr>
      <w:r w:rsidRPr="003E61CF">
        <w:rPr>
          <w:rFonts w:ascii="Calibri" w:eastAsia="Calibri" w:hAnsi="Calibri" w:cs="Calibri"/>
        </w:rPr>
        <w:t xml:space="preserve">Four to six percent of adolescents presently have a serious problem with gambling. </w:t>
      </w:r>
    </w:p>
    <w:p w14:paraId="00000010" w14:textId="77777777" w:rsidR="004A05D2" w:rsidRDefault="004A05D2">
      <w:pPr>
        <w:shd w:val="clear" w:color="auto" w:fill="FFFFFF"/>
        <w:rPr>
          <w:rFonts w:ascii="Calibri" w:eastAsia="Calibri" w:hAnsi="Calibri" w:cs="Calibri"/>
        </w:rPr>
      </w:pPr>
    </w:p>
    <w:p w14:paraId="56F929AF" w14:textId="0115838E" w:rsidR="004B726B" w:rsidRDefault="001A3A23">
      <w:pPr>
        <w:shd w:val="clear" w:color="auto" w:fill="FFFFFF"/>
        <w:rPr>
          <w:rFonts w:ascii="Calibri" w:eastAsia="Calibri" w:hAnsi="Calibri" w:cs="Calibri"/>
        </w:rPr>
      </w:pPr>
      <w:r>
        <w:rPr>
          <w:rFonts w:ascii="Calibri" w:eastAsia="Calibri" w:hAnsi="Calibri" w:cs="Calibri"/>
        </w:rPr>
        <w:t xml:space="preserve">Lottery tickets </w:t>
      </w:r>
      <w:proofErr w:type="gramStart"/>
      <w:r>
        <w:rPr>
          <w:rFonts w:ascii="Calibri" w:eastAsia="Calibri" w:hAnsi="Calibri" w:cs="Calibri"/>
        </w:rPr>
        <w:t>aren’t</w:t>
      </w:r>
      <w:proofErr w:type="gramEnd"/>
      <w:r>
        <w:rPr>
          <w:rFonts w:ascii="Calibri" w:eastAsia="Calibri" w:hAnsi="Calibri" w:cs="Calibri"/>
        </w:rPr>
        <w:t xml:space="preserve"> the only gift idea</w:t>
      </w:r>
      <w:r w:rsidR="00F81492">
        <w:rPr>
          <w:rFonts w:ascii="Calibri" w:eastAsia="Calibri" w:hAnsi="Calibri" w:cs="Calibri"/>
        </w:rPr>
        <w:t>s</w:t>
      </w:r>
      <w:r>
        <w:rPr>
          <w:rFonts w:ascii="Calibri" w:eastAsia="Calibri" w:hAnsi="Calibri" w:cs="Calibri"/>
        </w:rPr>
        <w:t xml:space="preserve"> that carry risk this holiday season. Did you know that many of today’s popular video games feature gambling mechanisms like loot boxes</w:t>
      </w:r>
      <w:r w:rsidR="0034681B">
        <w:rPr>
          <w:rFonts w:ascii="Calibri" w:eastAsia="Calibri" w:hAnsi="Calibri" w:cs="Calibri"/>
        </w:rPr>
        <w:t xml:space="preserve"> and incentivize the player to make in-game purchases</w:t>
      </w:r>
      <w:r w:rsidR="004B726B">
        <w:rPr>
          <w:rFonts w:ascii="Calibri" w:eastAsia="Calibri" w:hAnsi="Calibri" w:cs="Calibri"/>
        </w:rPr>
        <w:t xml:space="preserve"> based on random chance</w:t>
      </w:r>
      <w:r>
        <w:rPr>
          <w:rFonts w:ascii="Calibri" w:eastAsia="Calibri" w:hAnsi="Calibri" w:cs="Calibri"/>
        </w:rPr>
        <w:t xml:space="preserve">? </w:t>
      </w:r>
      <w:r w:rsidR="007558C6">
        <w:rPr>
          <w:rFonts w:ascii="Calibri" w:eastAsia="Calibri" w:hAnsi="Calibri" w:cs="Calibri"/>
        </w:rPr>
        <w:t xml:space="preserve">In </w:t>
      </w:r>
      <w:r w:rsidR="0072603C">
        <w:rPr>
          <w:rFonts w:ascii="Calibri" w:eastAsia="Calibri" w:hAnsi="Calibri" w:cs="Calibri"/>
        </w:rPr>
        <w:t xml:space="preserve">February of </w:t>
      </w:r>
      <w:r w:rsidR="007558C6">
        <w:rPr>
          <w:rFonts w:ascii="Calibri" w:eastAsia="Calibri" w:hAnsi="Calibri" w:cs="Calibri"/>
        </w:rPr>
        <w:t>2020</w:t>
      </w:r>
      <w:r w:rsidR="0072603C">
        <w:rPr>
          <w:rFonts w:ascii="Calibri" w:eastAsia="Calibri" w:hAnsi="Calibri" w:cs="Calibri"/>
        </w:rPr>
        <w:t xml:space="preserve"> (but not on games released </w:t>
      </w:r>
      <w:r w:rsidR="0072603C">
        <w:rPr>
          <w:rFonts w:ascii="Calibri" w:eastAsia="Calibri" w:hAnsi="Calibri" w:cs="Calibri"/>
        </w:rPr>
        <w:lastRenderedPageBreak/>
        <w:t>before then)</w:t>
      </w:r>
      <w:r w:rsidR="007558C6">
        <w:rPr>
          <w:rFonts w:ascii="Calibri" w:eastAsia="Calibri" w:hAnsi="Calibri" w:cs="Calibri"/>
        </w:rPr>
        <w:t>, t</w:t>
      </w:r>
      <w:r w:rsidR="0034681B">
        <w:rPr>
          <w:rFonts w:ascii="Calibri" w:eastAsia="Calibri" w:hAnsi="Calibri" w:cs="Calibri"/>
        </w:rPr>
        <w:t xml:space="preserve">he Entertainment Software Rating Board (ESRB) </w:t>
      </w:r>
      <w:r w:rsidR="007558C6">
        <w:rPr>
          <w:rFonts w:ascii="Calibri" w:eastAsia="Calibri" w:hAnsi="Calibri" w:cs="Calibri"/>
        </w:rPr>
        <w:t>began including the words “</w:t>
      </w:r>
      <w:r w:rsidR="007558C6" w:rsidRPr="007558C6">
        <w:rPr>
          <w:rFonts w:ascii="Calibri" w:eastAsia="Calibri" w:hAnsi="Calibri" w:cs="Calibri"/>
        </w:rPr>
        <w:t>In-Game Purchases (Includes Random Items)</w:t>
      </w:r>
      <w:r w:rsidR="007558C6">
        <w:rPr>
          <w:rFonts w:ascii="Calibri" w:eastAsia="Calibri" w:hAnsi="Calibri" w:cs="Calibri"/>
        </w:rPr>
        <w:t>”</w:t>
      </w:r>
      <w:r w:rsidR="0034681B">
        <w:rPr>
          <w:rFonts w:ascii="Calibri" w:eastAsia="Calibri" w:hAnsi="Calibri" w:cs="Calibri"/>
        </w:rPr>
        <w:t xml:space="preserve"> in their rating labels</w:t>
      </w:r>
      <w:r w:rsidR="007558C6">
        <w:rPr>
          <w:rFonts w:ascii="Calibri" w:eastAsia="Calibri" w:hAnsi="Calibri" w:cs="Calibri"/>
        </w:rPr>
        <w:t xml:space="preserve"> for games containing such gambling mechanisms</w:t>
      </w:r>
      <w:r w:rsidR="004B726B">
        <w:rPr>
          <w:rFonts w:ascii="Calibri" w:eastAsia="Calibri" w:hAnsi="Calibri" w:cs="Calibri"/>
        </w:rPr>
        <w:t xml:space="preserve"> </w:t>
      </w:r>
      <w:r w:rsidR="0072603C">
        <w:rPr>
          <w:rFonts w:ascii="Calibri" w:eastAsia="Calibri" w:hAnsi="Calibri" w:cs="Calibri"/>
        </w:rPr>
        <w:t>[4]</w:t>
      </w:r>
      <w:r w:rsidR="0034681B">
        <w:rPr>
          <w:rFonts w:ascii="Calibri" w:eastAsia="Calibri" w:hAnsi="Calibri" w:cs="Calibri"/>
        </w:rPr>
        <w:t xml:space="preserve">. However, though the ESRB’s Rating Categories </w:t>
      </w:r>
      <w:proofErr w:type="gramStart"/>
      <w:r w:rsidR="0034681B">
        <w:rPr>
          <w:rFonts w:ascii="Calibri" w:eastAsia="Calibri" w:hAnsi="Calibri" w:cs="Calibri"/>
        </w:rPr>
        <w:t>are intended</w:t>
      </w:r>
      <w:proofErr w:type="gramEnd"/>
      <w:r w:rsidR="0034681B">
        <w:rPr>
          <w:rFonts w:ascii="Calibri" w:eastAsia="Calibri" w:hAnsi="Calibri" w:cs="Calibri"/>
        </w:rPr>
        <w:t xml:space="preserve"> to suggest overall age-appropriateness for each game, it is up to parents to </w:t>
      </w:r>
      <w:r w:rsidR="004B726B">
        <w:rPr>
          <w:rFonts w:ascii="Calibri" w:eastAsia="Calibri" w:hAnsi="Calibri" w:cs="Calibri"/>
        </w:rPr>
        <w:t xml:space="preserve">do their research and </w:t>
      </w:r>
      <w:r w:rsidR="0034681B">
        <w:rPr>
          <w:rFonts w:ascii="Calibri" w:eastAsia="Calibri" w:hAnsi="Calibri" w:cs="Calibri"/>
        </w:rPr>
        <w:t xml:space="preserve">make </w:t>
      </w:r>
      <w:r w:rsidR="004B726B">
        <w:rPr>
          <w:rFonts w:ascii="Calibri" w:eastAsia="Calibri" w:hAnsi="Calibri" w:cs="Calibri"/>
        </w:rPr>
        <w:t>an informed</w:t>
      </w:r>
      <w:r w:rsidR="0034681B">
        <w:rPr>
          <w:rFonts w:ascii="Calibri" w:eastAsia="Calibri" w:hAnsi="Calibri" w:cs="Calibri"/>
        </w:rPr>
        <w:t xml:space="preserve"> about what is appropriate for their children. For example, </w:t>
      </w:r>
      <w:r w:rsidR="007558C6">
        <w:rPr>
          <w:rFonts w:ascii="Calibri" w:eastAsia="Calibri" w:hAnsi="Calibri" w:cs="Calibri"/>
        </w:rPr>
        <w:t xml:space="preserve">the </w:t>
      </w:r>
      <w:proofErr w:type="gramStart"/>
      <w:r w:rsidR="007558C6">
        <w:rPr>
          <w:rFonts w:ascii="Calibri" w:eastAsia="Calibri" w:hAnsi="Calibri" w:cs="Calibri"/>
        </w:rPr>
        <w:t>ESRB’s</w:t>
      </w:r>
      <w:proofErr w:type="gramEnd"/>
      <w:r w:rsidR="007558C6">
        <w:rPr>
          <w:rFonts w:ascii="Calibri" w:eastAsia="Calibri" w:hAnsi="Calibri" w:cs="Calibri"/>
        </w:rPr>
        <w:t xml:space="preserve"> rating category </w:t>
      </w:r>
      <w:r w:rsidR="0034681B">
        <w:rPr>
          <w:rFonts w:ascii="Calibri" w:eastAsia="Calibri" w:hAnsi="Calibri" w:cs="Calibri"/>
        </w:rPr>
        <w:t xml:space="preserve">“T” for teen (ages 13 and up), </w:t>
      </w:r>
      <w:r w:rsidR="007558C6">
        <w:rPr>
          <w:rFonts w:ascii="Calibri" w:eastAsia="Calibri" w:hAnsi="Calibri" w:cs="Calibri"/>
        </w:rPr>
        <w:t>is defined as “May contain violence, suggestive themes, crude humor, minimal blood, simulated gambling, and/or infrequent use of strong language”</w:t>
      </w:r>
      <w:r w:rsidR="004B726B">
        <w:rPr>
          <w:rFonts w:ascii="Calibri" w:eastAsia="Calibri" w:hAnsi="Calibri" w:cs="Calibri"/>
        </w:rPr>
        <w:t xml:space="preserve"> [5].</w:t>
      </w:r>
      <w:r w:rsidR="0072603C">
        <w:rPr>
          <w:rFonts w:ascii="Calibri" w:eastAsia="Calibri" w:hAnsi="Calibri" w:cs="Calibri"/>
        </w:rPr>
        <w:t xml:space="preserve"> </w:t>
      </w:r>
    </w:p>
    <w:p w14:paraId="18AAD052" w14:textId="77777777" w:rsidR="004B726B" w:rsidRDefault="004B726B">
      <w:pPr>
        <w:shd w:val="clear" w:color="auto" w:fill="FFFFFF"/>
        <w:rPr>
          <w:rFonts w:ascii="Calibri" w:eastAsia="Calibri" w:hAnsi="Calibri" w:cs="Calibri"/>
        </w:rPr>
      </w:pPr>
    </w:p>
    <w:p w14:paraId="00000011" w14:textId="3AC42C38" w:rsidR="004A05D2" w:rsidRDefault="00F5042B">
      <w:pPr>
        <w:shd w:val="clear" w:color="auto" w:fill="FFFFFF"/>
        <w:rPr>
          <w:rFonts w:ascii="Calibri" w:eastAsia="Calibri" w:hAnsi="Calibri" w:cs="Calibri"/>
        </w:rPr>
      </w:pPr>
      <w:r>
        <w:rPr>
          <w:rFonts w:ascii="Calibri" w:eastAsia="Calibri" w:hAnsi="Calibri" w:cs="Calibri"/>
        </w:rPr>
        <w:t>“</w:t>
      </w:r>
      <w:r w:rsidR="004B726B">
        <w:rPr>
          <w:rFonts w:ascii="Calibri" w:eastAsia="Calibri" w:hAnsi="Calibri" w:cs="Calibri"/>
        </w:rPr>
        <w:t xml:space="preserve">Compared with </w:t>
      </w:r>
      <w:r w:rsidR="005571DD">
        <w:rPr>
          <w:rFonts w:ascii="Calibri" w:eastAsia="Calibri" w:hAnsi="Calibri" w:cs="Calibri"/>
        </w:rPr>
        <w:t xml:space="preserve">years </w:t>
      </w:r>
      <w:r w:rsidR="004B726B">
        <w:rPr>
          <w:rFonts w:ascii="Calibri" w:eastAsia="Calibri" w:hAnsi="Calibri" w:cs="Calibri"/>
        </w:rPr>
        <w:t>past, today’s youth are facing an onslaught of exposure to gambling concepts, and these are not mutually exclusive when it comes to raising a child’s risk for developing a</w:t>
      </w:r>
      <w:r>
        <w:rPr>
          <w:rFonts w:ascii="Calibri" w:eastAsia="Calibri" w:hAnsi="Calibri" w:cs="Calibri"/>
        </w:rPr>
        <w:t xml:space="preserve"> gambling problem later in life,” said Kruse.</w:t>
      </w:r>
      <w:r w:rsidR="004B726B">
        <w:rPr>
          <w:rFonts w:ascii="Calibri" w:eastAsia="Calibri" w:hAnsi="Calibri" w:cs="Calibri"/>
        </w:rPr>
        <w:t xml:space="preserve"> </w:t>
      </w:r>
      <w:r>
        <w:rPr>
          <w:rFonts w:ascii="Calibri" w:eastAsia="Calibri" w:hAnsi="Calibri" w:cs="Calibri"/>
        </w:rPr>
        <w:t>“</w:t>
      </w:r>
      <w:r w:rsidR="004B726B">
        <w:rPr>
          <w:rFonts w:ascii="Calibri" w:eastAsia="Calibri" w:hAnsi="Calibri" w:cs="Calibri"/>
        </w:rPr>
        <w:t xml:space="preserve">Imagine for example that a teenager has been playing </w:t>
      </w:r>
      <w:r>
        <w:rPr>
          <w:rFonts w:ascii="Calibri" w:eastAsia="Calibri" w:hAnsi="Calibri" w:cs="Calibri"/>
        </w:rPr>
        <w:t xml:space="preserve">video games featuring simulated gambling for years, and then </w:t>
      </w:r>
      <w:r w:rsidR="00F81492">
        <w:rPr>
          <w:rFonts w:ascii="Calibri" w:eastAsia="Calibri" w:hAnsi="Calibri" w:cs="Calibri"/>
        </w:rPr>
        <w:t>he or she</w:t>
      </w:r>
      <w:r>
        <w:rPr>
          <w:rFonts w:ascii="Calibri" w:eastAsia="Calibri" w:hAnsi="Calibri" w:cs="Calibri"/>
        </w:rPr>
        <w:t xml:space="preserve"> receive</w:t>
      </w:r>
      <w:r w:rsidR="00F81492">
        <w:rPr>
          <w:rFonts w:ascii="Calibri" w:eastAsia="Calibri" w:hAnsi="Calibri" w:cs="Calibri"/>
        </w:rPr>
        <w:t>s</w:t>
      </w:r>
      <w:r>
        <w:rPr>
          <w:rFonts w:ascii="Calibri" w:eastAsia="Calibri" w:hAnsi="Calibri" w:cs="Calibri"/>
        </w:rPr>
        <w:t xml:space="preserve"> a lottery ticket during the holidays.</w:t>
      </w:r>
      <w:r w:rsidR="005571DD">
        <w:rPr>
          <w:rFonts w:ascii="Calibri" w:eastAsia="Calibri" w:hAnsi="Calibri" w:cs="Calibri"/>
        </w:rPr>
        <w:t xml:space="preserve"> He or she is </w:t>
      </w:r>
      <w:r>
        <w:rPr>
          <w:rFonts w:ascii="Calibri" w:eastAsia="Calibri" w:hAnsi="Calibri" w:cs="Calibri"/>
        </w:rPr>
        <w:t>already primed to the</w:t>
      </w:r>
      <w:r w:rsidRPr="00F5042B">
        <w:rPr>
          <w:rFonts w:ascii="Calibri" w:eastAsia="Calibri" w:hAnsi="Calibri" w:cs="Calibri"/>
        </w:rPr>
        <w:t xml:space="preserve"> misconception that success </w:t>
      </w:r>
      <w:proofErr w:type="gramStart"/>
      <w:r w:rsidRPr="00F5042B">
        <w:rPr>
          <w:rFonts w:ascii="Calibri" w:eastAsia="Calibri" w:hAnsi="Calibri" w:cs="Calibri"/>
        </w:rPr>
        <w:t>is achieved</w:t>
      </w:r>
      <w:proofErr w:type="gramEnd"/>
      <w:r w:rsidRPr="00F5042B">
        <w:rPr>
          <w:rFonts w:ascii="Calibri" w:eastAsia="Calibri" w:hAnsi="Calibri" w:cs="Calibri"/>
        </w:rPr>
        <w:t xml:space="preserve"> through chance rather than hard work and dedication</w:t>
      </w:r>
      <w:r>
        <w:rPr>
          <w:rFonts w:ascii="Calibri" w:eastAsia="Calibri" w:hAnsi="Calibri" w:cs="Calibri"/>
        </w:rPr>
        <w:t>, and the lottery ticket</w:t>
      </w:r>
      <w:r w:rsidR="00891894">
        <w:rPr>
          <w:rFonts w:ascii="Calibri" w:eastAsia="Calibri" w:hAnsi="Calibri" w:cs="Calibri"/>
        </w:rPr>
        <w:t xml:space="preserve"> prematurely</w:t>
      </w:r>
      <w:r>
        <w:rPr>
          <w:rFonts w:ascii="Calibri" w:eastAsia="Calibri" w:hAnsi="Calibri" w:cs="Calibri"/>
        </w:rPr>
        <w:t xml:space="preserve"> intr</w:t>
      </w:r>
      <w:r w:rsidR="00F81492">
        <w:rPr>
          <w:rFonts w:ascii="Calibri" w:eastAsia="Calibri" w:hAnsi="Calibri" w:cs="Calibri"/>
        </w:rPr>
        <w:t>oduces to him or her</w:t>
      </w:r>
      <w:r>
        <w:rPr>
          <w:rFonts w:ascii="Calibri" w:eastAsia="Calibri" w:hAnsi="Calibri" w:cs="Calibri"/>
        </w:rPr>
        <w:t xml:space="preserve"> the </w:t>
      </w:r>
      <w:r w:rsidR="005571DD">
        <w:rPr>
          <w:rFonts w:ascii="Calibri" w:eastAsia="Calibri" w:hAnsi="Calibri" w:cs="Calibri"/>
        </w:rPr>
        <w:t>concept of acquiring</w:t>
      </w:r>
      <w:r>
        <w:rPr>
          <w:rFonts w:ascii="Calibri" w:eastAsia="Calibri" w:hAnsi="Calibri" w:cs="Calibri"/>
        </w:rPr>
        <w:t xml:space="preserve"> real-world money by chance. </w:t>
      </w:r>
      <w:r w:rsidR="0072603C">
        <w:rPr>
          <w:rFonts w:ascii="Calibri" w:eastAsia="Calibri" w:hAnsi="Calibri" w:cs="Calibri"/>
        </w:rPr>
        <w:t>Be wary this holiday season and beyond – do your research</w:t>
      </w:r>
      <w:r>
        <w:rPr>
          <w:rFonts w:ascii="Calibri" w:eastAsia="Calibri" w:hAnsi="Calibri" w:cs="Calibri"/>
        </w:rPr>
        <w:t xml:space="preserve">”, </w:t>
      </w:r>
      <w:r w:rsidR="007E004C">
        <w:rPr>
          <w:rFonts w:ascii="Calibri" w:eastAsia="Calibri" w:hAnsi="Calibri" w:cs="Calibri"/>
        </w:rPr>
        <w:t>she concluded.</w:t>
      </w:r>
    </w:p>
    <w:p w14:paraId="0422E903" w14:textId="1CF202AB" w:rsidR="00027035" w:rsidRDefault="00027035" w:rsidP="005571DD">
      <w:pPr>
        <w:rPr>
          <w:rFonts w:ascii="Calibri" w:eastAsia="Calibri" w:hAnsi="Calibri" w:cs="Calibri"/>
        </w:rPr>
      </w:pPr>
    </w:p>
    <w:p w14:paraId="128BE230" w14:textId="0B2EE8BB" w:rsidR="00027035" w:rsidRPr="00027035" w:rsidRDefault="00027035" w:rsidP="00027035">
      <w:pPr>
        <w:rPr>
          <w:rFonts w:ascii="Calibri" w:eastAsia="Calibri" w:hAnsi="Calibri" w:cs="Calibri"/>
        </w:rPr>
      </w:pPr>
      <w:r>
        <w:rPr>
          <w:rFonts w:ascii="Calibri" w:eastAsia="Calibri" w:hAnsi="Calibri" w:cs="Calibri"/>
        </w:rPr>
        <w:t>I</w:t>
      </w:r>
      <w:r w:rsidRPr="00027035">
        <w:rPr>
          <w:rFonts w:ascii="Calibri" w:eastAsia="Calibri" w:hAnsi="Calibri" w:cs="Calibri"/>
        </w:rPr>
        <w:t xml:space="preserve">f you are concerned about your own, </w:t>
      </w:r>
      <w:r>
        <w:rPr>
          <w:rFonts w:ascii="Calibri" w:eastAsia="Calibri" w:hAnsi="Calibri" w:cs="Calibri"/>
        </w:rPr>
        <w:t>your</w:t>
      </w:r>
      <w:r w:rsidRPr="00027035">
        <w:rPr>
          <w:rFonts w:ascii="Calibri" w:eastAsia="Calibri" w:hAnsi="Calibri" w:cs="Calibri"/>
        </w:rPr>
        <w:t xml:space="preserve"> child</w:t>
      </w:r>
      <w:r>
        <w:rPr>
          <w:rFonts w:ascii="Calibri" w:eastAsia="Calibri" w:hAnsi="Calibri" w:cs="Calibri"/>
        </w:rPr>
        <w:t>’s,</w:t>
      </w:r>
      <w:r w:rsidRPr="00027035">
        <w:rPr>
          <w:rFonts w:ascii="Calibri" w:eastAsia="Calibri" w:hAnsi="Calibri" w:cs="Calibri"/>
        </w:rPr>
        <w:t xml:space="preserve"> or anothe</w:t>
      </w:r>
      <w:r>
        <w:rPr>
          <w:rFonts w:ascii="Calibri" w:eastAsia="Calibri" w:hAnsi="Calibri" w:cs="Calibri"/>
        </w:rPr>
        <w:t>r loved one's gambling</w:t>
      </w:r>
      <w:r w:rsidR="00627AD9">
        <w:rPr>
          <w:rFonts w:ascii="Calibri" w:eastAsia="Calibri" w:hAnsi="Calibri" w:cs="Calibri"/>
        </w:rPr>
        <w:t xml:space="preserve"> or risk for problem gambling</w:t>
      </w:r>
      <w:r>
        <w:rPr>
          <w:rFonts w:ascii="Calibri" w:eastAsia="Calibri" w:hAnsi="Calibri" w:cs="Calibri"/>
        </w:rPr>
        <w:t xml:space="preserve">, confidential and multilingual </w:t>
      </w:r>
      <w:r w:rsidR="00627AD9">
        <w:rPr>
          <w:rFonts w:ascii="Calibri" w:eastAsia="Calibri" w:hAnsi="Calibri" w:cs="Calibri"/>
        </w:rPr>
        <w:t xml:space="preserve">help, </w:t>
      </w:r>
      <w:r>
        <w:rPr>
          <w:rFonts w:ascii="Calibri" w:eastAsia="Calibri" w:hAnsi="Calibri" w:cs="Calibri"/>
        </w:rPr>
        <w:t>hope</w:t>
      </w:r>
      <w:r w:rsidR="00627AD9">
        <w:rPr>
          <w:rFonts w:ascii="Calibri" w:eastAsia="Calibri" w:hAnsi="Calibri" w:cs="Calibri"/>
        </w:rPr>
        <w:t>, and information</w:t>
      </w:r>
      <w:r>
        <w:rPr>
          <w:rFonts w:ascii="Calibri" w:eastAsia="Calibri" w:hAnsi="Calibri" w:cs="Calibri"/>
        </w:rPr>
        <w:t xml:space="preserve"> are </w:t>
      </w:r>
      <w:r w:rsidRPr="00027035">
        <w:rPr>
          <w:rFonts w:ascii="Calibri" w:eastAsia="Calibri" w:hAnsi="Calibri" w:cs="Calibri"/>
        </w:rPr>
        <w:t>available 24/7</w:t>
      </w:r>
      <w:r>
        <w:rPr>
          <w:rFonts w:ascii="Calibri" w:eastAsia="Calibri" w:hAnsi="Calibri" w:cs="Calibri"/>
        </w:rPr>
        <w:t xml:space="preserve"> by calling or texting the </w:t>
      </w:r>
      <w:r w:rsidR="005571DD">
        <w:rPr>
          <w:rFonts w:ascii="Calibri" w:eastAsia="Calibri" w:hAnsi="Calibri" w:cs="Calibri"/>
        </w:rPr>
        <w:t xml:space="preserve">only problem gambling </w:t>
      </w:r>
      <w:proofErr w:type="spellStart"/>
      <w:r w:rsidR="005571DD">
        <w:rPr>
          <w:rFonts w:ascii="Calibri" w:eastAsia="Calibri" w:hAnsi="Calibri" w:cs="Calibri"/>
        </w:rPr>
        <w:t>HelpLine</w:t>
      </w:r>
      <w:proofErr w:type="spellEnd"/>
      <w:r w:rsidR="005571DD">
        <w:rPr>
          <w:rFonts w:ascii="Calibri" w:eastAsia="Calibri" w:hAnsi="Calibri" w:cs="Calibri"/>
        </w:rPr>
        <w:t xml:space="preserve"> in Florida: </w:t>
      </w:r>
      <w:r w:rsidRPr="00027035">
        <w:rPr>
          <w:rFonts w:ascii="Calibri" w:eastAsia="Calibri" w:hAnsi="Calibri" w:cs="Calibri"/>
        </w:rPr>
        <w:t>888-ADMIT-IT</w:t>
      </w:r>
      <w:r>
        <w:rPr>
          <w:rFonts w:ascii="Calibri" w:eastAsia="Calibri" w:hAnsi="Calibri" w:cs="Calibri"/>
        </w:rPr>
        <w:t xml:space="preserve">. </w:t>
      </w:r>
      <w:r w:rsidRPr="00027035">
        <w:rPr>
          <w:rFonts w:ascii="Calibri" w:eastAsia="Calibri" w:hAnsi="Calibri" w:cs="Calibri"/>
        </w:rPr>
        <w:t xml:space="preserve">The </w:t>
      </w:r>
      <w:proofErr w:type="spellStart"/>
      <w:r w:rsidRPr="00027035">
        <w:rPr>
          <w:rFonts w:ascii="Calibri" w:eastAsia="Calibri" w:hAnsi="Calibri" w:cs="Calibri"/>
        </w:rPr>
        <w:t>HelpLine</w:t>
      </w:r>
      <w:proofErr w:type="spellEnd"/>
      <w:r w:rsidRPr="00027035">
        <w:rPr>
          <w:rFonts w:ascii="Calibri" w:eastAsia="Calibri" w:hAnsi="Calibri" w:cs="Calibri"/>
        </w:rPr>
        <w:t xml:space="preserve"> </w:t>
      </w:r>
      <w:proofErr w:type="gramStart"/>
      <w:r w:rsidRPr="00027035">
        <w:rPr>
          <w:rFonts w:ascii="Calibri" w:eastAsia="Calibri" w:hAnsi="Calibri" w:cs="Calibri"/>
        </w:rPr>
        <w:t xml:space="preserve">may </w:t>
      </w:r>
      <w:r>
        <w:rPr>
          <w:rFonts w:ascii="Calibri" w:eastAsia="Calibri" w:hAnsi="Calibri" w:cs="Calibri"/>
        </w:rPr>
        <w:t>also be reached</w:t>
      </w:r>
      <w:proofErr w:type="gramEnd"/>
      <w:r>
        <w:rPr>
          <w:rFonts w:ascii="Calibri" w:eastAsia="Calibri" w:hAnsi="Calibri" w:cs="Calibri"/>
        </w:rPr>
        <w:t xml:space="preserve"> through live chat on the FCCG’s website at </w:t>
      </w:r>
      <w:hyperlink r:id="rId5" w:history="1">
        <w:r w:rsidRPr="007E004C">
          <w:rPr>
            <w:rStyle w:val="Hyperlink"/>
            <w:rFonts w:ascii="Calibri" w:eastAsia="Calibri" w:hAnsi="Calibri" w:cs="Calibri"/>
          </w:rPr>
          <w:t>gamblinghelp.org</w:t>
        </w:r>
      </w:hyperlink>
      <w:r w:rsidRPr="00027035">
        <w:rPr>
          <w:rFonts w:ascii="Calibri" w:eastAsia="Calibri" w:hAnsi="Calibri" w:cs="Calibri"/>
        </w:rPr>
        <w:t xml:space="preserve">, </w:t>
      </w:r>
      <w:r>
        <w:rPr>
          <w:rFonts w:ascii="Calibri" w:eastAsia="Calibri" w:hAnsi="Calibri" w:cs="Calibri"/>
        </w:rPr>
        <w:t xml:space="preserve">by </w:t>
      </w:r>
      <w:r w:rsidRPr="00027035">
        <w:rPr>
          <w:rFonts w:ascii="Calibri" w:eastAsia="Calibri" w:hAnsi="Calibri" w:cs="Calibri"/>
        </w:rPr>
        <w:t>email (</w:t>
      </w:r>
      <w:hyperlink r:id="rId6" w:history="1">
        <w:r w:rsidR="007E004C">
          <w:rPr>
            <w:rStyle w:val="Hyperlink"/>
            <w:rFonts w:ascii="Calibri" w:eastAsia="Calibri" w:hAnsi="Calibri" w:cs="Calibri"/>
          </w:rPr>
          <w:t>fccg@gamblinghelp.org</w:t>
        </w:r>
      </w:hyperlink>
      <w:r w:rsidRPr="00027035">
        <w:rPr>
          <w:rFonts w:ascii="Calibri" w:eastAsia="Calibri" w:hAnsi="Calibri" w:cs="Calibri"/>
        </w:rPr>
        <w:t xml:space="preserve">) or </w:t>
      </w:r>
      <w:r>
        <w:rPr>
          <w:rFonts w:ascii="Calibri" w:eastAsia="Calibri" w:hAnsi="Calibri" w:cs="Calibri"/>
        </w:rPr>
        <w:t>by connecting with the FCCG on</w:t>
      </w:r>
      <w:r w:rsidRPr="00027035">
        <w:rPr>
          <w:rFonts w:ascii="Calibri" w:eastAsia="Calibri" w:hAnsi="Calibri" w:cs="Calibri"/>
        </w:rPr>
        <w:t xml:space="preserve"> social media, such as </w:t>
      </w:r>
      <w:hyperlink r:id="rId7" w:history="1">
        <w:r w:rsidRPr="007E004C">
          <w:rPr>
            <w:rStyle w:val="Hyperlink"/>
            <w:rFonts w:ascii="Calibri" w:eastAsia="Calibri" w:hAnsi="Calibri" w:cs="Calibri"/>
          </w:rPr>
          <w:t>Facebook</w:t>
        </w:r>
      </w:hyperlink>
      <w:r w:rsidRPr="00027035">
        <w:rPr>
          <w:rFonts w:ascii="Calibri" w:eastAsia="Calibri" w:hAnsi="Calibri" w:cs="Calibri"/>
        </w:rPr>
        <w:t xml:space="preserve"> and </w:t>
      </w:r>
      <w:hyperlink r:id="rId8" w:history="1">
        <w:r w:rsidRPr="007E004C">
          <w:rPr>
            <w:rStyle w:val="Hyperlink"/>
            <w:rFonts w:ascii="Calibri" w:eastAsia="Calibri" w:hAnsi="Calibri" w:cs="Calibri"/>
          </w:rPr>
          <w:t>Twitter.</w:t>
        </w:r>
      </w:hyperlink>
    </w:p>
    <w:p w14:paraId="1B71152B" w14:textId="77777777" w:rsidR="00027035" w:rsidRPr="00027035" w:rsidRDefault="00027035" w:rsidP="00027035">
      <w:pPr>
        <w:rPr>
          <w:rFonts w:ascii="Calibri" w:eastAsia="Calibri" w:hAnsi="Calibri" w:cs="Calibri"/>
        </w:rPr>
      </w:pPr>
    </w:p>
    <w:p w14:paraId="3CC224F4" w14:textId="4B8001CB" w:rsidR="00027035" w:rsidRPr="005571DD" w:rsidRDefault="00027035" w:rsidP="005571DD">
      <w:pPr>
        <w:rPr>
          <w:rFonts w:ascii="Calibri" w:eastAsia="Calibri" w:hAnsi="Calibri" w:cs="Calibri"/>
          <w:i/>
        </w:rPr>
      </w:pPr>
      <w:r w:rsidRPr="005571DD">
        <w:rPr>
          <w:rFonts w:ascii="Calibri" w:eastAsia="Calibri" w:hAnsi="Calibri" w:cs="Calibri"/>
          <w:i/>
        </w:rPr>
        <w:t>The Florida Council on Compulsive Gambling, Inc. (FCCG) is a not-for-profit corporation under contract with Florida State government</w:t>
      </w:r>
      <w:r w:rsidR="008D3313">
        <w:rPr>
          <w:rFonts w:ascii="Calibri" w:eastAsia="Calibri" w:hAnsi="Calibri" w:cs="Calibri"/>
          <w:i/>
        </w:rPr>
        <w:t>.</w:t>
      </w:r>
      <w:r w:rsidRPr="005571DD">
        <w:rPr>
          <w:rFonts w:ascii="Calibri" w:eastAsia="Calibri" w:hAnsi="Calibri" w:cs="Calibri"/>
          <w:i/>
        </w:rPr>
        <w:t xml:space="preserve"> In addition to operating the 24-hour Problem Gambling </w:t>
      </w:r>
      <w:proofErr w:type="spellStart"/>
      <w:r w:rsidRPr="005571DD">
        <w:rPr>
          <w:rFonts w:ascii="Calibri" w:eastAsia="Calibri" w:hAnsi="Calibri" w:cs="Calibri"/>
          <w:i/>
        </w:rPr>
        <w:t>HelpLine</w:t>
      </w:r>
      <w:proofErr w:type="spellEnd"/>
      <w:r w:rsidRPr="005571DD">
        <w:rPr>
          <w:rFonts w:ascii="Calibri" w:eastAsia="Calibri" w:hAnsi="Calibri" w:cs="Calibri"/>
          <w:i/>
        </w:rPr>
        <w:t xml:space="preserve"> (888-ADMIT-IT), the FCCG increases awareness of problem gambling through education and outreach efforts throughout the state of Florida, advocates on behalf of the public regarding issues relating to problem gambling, and provides programs, resources, and other population specific supports to those in need of assistance.</w:t>
      </w:r>
    </w:p>
    <w:p w14:paraId="0000003B" w14:textId="77777777" w:rsidR="004A05D2" w:rsidRDefault="004A05D2">
      <w:pPr>
        <w:shd w:val="clear" w:color="auto" w:fill="FFFFFF"/>
        <w:rPr>
          <w:rFonts w:ascii="Calibri" w:eastAsia="Calibri" w:hAnsi="Calibri" w:cs="Calibri"/>
        </w:rPr>
      </w:pPr>
    </w:p>
    <w:p w14:paraId="0000003C" w14:textId="2C5F777F" w:rsidR="004A05D2" w:rsidRDefault="00627AD9">
      <w:pPr>
        <w:shd w:val="clear" w:color="auto" w:fill="FFFFFF"/>
        <w:rPr>
          <w:rFonts w:ascii="Calibri" w:eastAsia="Calibri" w:hAnsi="Calibri" w:cs="Calibri"/>
        </w:rPr>
      </w:pPr>
      <w:r>
        <w:rPr>
          <w:rFonts w:ascii="Calibri" w:eastAsia="Calibri" w:hAnsi="Calibri" w:cs="Calibri"/>
        </w:rPr>
        <w:t>References</w:t>
      </w:r>
      <w:r w:rsidR="00027226">
        <w:rPr>
          <w:rFonts w:ascii="Calibri" w:eastAsia="Calibri" w:hAnsi="Calibri" w:cs="Calibri"/>
        </w:rPr>
        <w:t xml:space="preserve">: </w:t>
      </w:r>
    </w:p>
    <w:p w14:paraId="657816C2" w14:textId="77777777" w:rsidR="005571DD" w:rsidRDefault="005571DD">
      <w:pPr>
        <w:shd w:val="clear" w:color="auto" w:fill="FFFFFF"/>
        <w:rPr>
          <w:rFonts w:ascii="Calibri" w:eastAsia="Calibri" w:hAnsi="Calibri" w:cs="Calibri"/>
        </w:rPr>
      </w:pPr>
    </w:p>
    <w:p w14:paraId="0000003D" w14:textId="3E336E38" w:rsidR="004A05D2" w:rsidRDefault="00F652E8" w:rsidP="005571DD">
      <w:pPr>
        <w:numPr>
          <w:ilvl w:val="0"/>
          <w:numId w:val="1"/>
        </w:numPr>
        <w:ind w:left="1080"/>
        <w:rPr>
          <w:rFonts w:ascii="Calibri" w:eastAsia="Calibri" w:hAnsi="Calibri" w:cs="Calibri"/>
        </w:rPr>
      </w:pPr>
      <w:r w:rsidRPr="00F652E8">
        <w:rPr>
          <w:rFonts w:ascii="Calibri" w:eastAsia="Calibri" w:hAnsi="Calibri" w:cs="Calibri"/>
        </w:rPr>
        <w:t xml:space="preserve">“GIFT RESPONSIBLY CAMPAIGN.” </w:t>
      </w:r>
      <w:r w:rsidRPr="005571DD">
        <w:rPr>
          <w:rFonts w:ascii="Calibri" w:eastAsia="Calibri" w:hAnsi="Calibri" w:cs="Calibri"/>
          <w:i/>
        </w:rPr>
        <w:t>National Council on Problem Gambling</w:t>
      </w:r>
      <w:r w:rsidRPr="00F652E8">
        <w:rPr>
          <w:rFonts w:ascii="Calibri" w:eastAsia="Calibri" w:hAnsi="Calibri" w:cs="Calibri"/>
        </w:rPr>
        <w:t xml:space="preserve">, 18 Oct. 2023, </w:t>
      </w:r>
      <w:hyperlink r:id="rId9" w:history="1">
        <w:r w:rsidR="003E61CF" w:rsidRPr="00484BAE">
          <w:rPr>
            <w:rStyle w:val="Hyperlink"/>
            <w:rFonts w:ascii="Calibri" w:eastAsia="Calibri" w:hAnsi="Calibri" w:cs="Calibri"/>
          </w:rPr>
          <w:t>www.ncpgambling.org/programs-resources/gift-responsibly-campaign/</w:t>
        </w:r>
      </w:hyperlink>
      <w:r w:rsidRPr="00F652E8">
        <w:rPr>
          <w:rFonts w:ascii="Calibri" w:eastAsia="Calibri" w:hAnsi="Calibri" w:cs="Calibri"/>
        </w:rPr>
        <w:t>.</w:t>
      </w:r>
    </w:p>
    <w:p w14:paraId="138ED76B" w14:textId="1EEFEC29" w:rsidR="003E61CF" w:rsidRDefault="003E61CF" w:rsidP="005571DD">
      <w:pPr>
        <w:numPr>
          <w:ilvl w:val="0"/>
          <w:numId w:val="1"/>
        </w:numPr>
        <w:ind w:left="1080"/>
        <w:rPr>
          <w:rFonts w:ascii="Calibri" w:eastAsia="Calibri" w:hAnsi="Calibri" w:cs="Calibri"/>
        </w:rPr>
      </w:pPr>
      <w:proofErr w:type="spellStart"/>
      <w:r w:rsidRPr="003E61CF">
        <w:rPr>
          <w:rFonts w:ascii="Calibri" w:eastAsia="Calibri" w:hAnsi="Calibri" w:cs="Calibri"/>
        </w:rPr>
        <w:t>Shapira</w:t>
      </w:r>
      <w:proofErr w:type="spellEnd"/>
      <w:r w:rsidRPr="003E61CF">
        <w:rPr>
          <w:rFonts w:ascii="Calibri" w:eastAsia="Calibri" w:hAnsi="Calibri" w:cs="Calibri"/>
        </w:rPr>
        <w:t>, N. A., Ferguson, M. A., Frost-Pineda, K., &amp; Gold, M. S. (2002). Gambling and Problem Gambling Prevalence among Adolescents in Florida.</w:t>
      </w:r>
    </w:p>
    <w:p w14:paraId="36BB3225" w14:textId="5D1F2079" w:rsidR="003E61CF" w:rsidRDefault="003E61CF" w:rsidP="005571DD">
      <w:pPr>
        <w:numPr>
          <w:ilvl w:val="0"/>
          <w:numId w:val="1"/>
        </w:numPr>
        <w:ind w:left="1080"/>
        <w:rPr>
          <w:rFonts w:ascii="Calibri" w:eastAsia="Calibri" w:hAnsi="Calibri" w:cs="Calibri"/>
        </w:rPr>
      </w:pPr>
      <w:r w:rsidRPr="003E61CF">
        <w:rPr>
          <w:rFonts w:ascii="Calibri" w:eastAsia="Calibri" w:hAnsi="Calibri" w:cs="Calibri"/>
        </w:rPr>
        <w:t xml:space="preserve">“GIFT RESPONSIBLY CAMPAIGN FAQ’S.” </w:t>
      </w:r>
      <w:r w:rsidRPr="005571DD">
        <w:rPr>
          <w:rFonts w:ascii="Calibri" w:eastAsia="Calibri" w:hAnsi="Calibri" w:cs="Calibri"/>
          <w:i/>
        </w:rPr>
        <w:t>National Council on Problem Gambling</w:t>
      </w:r>
      <w:r w:rsidRPr="003E61CF">
        <w:rPr>
          <w:rFonts w:ascii="Calibri" w:eastAsia="Calibri" w:hAnsi="Calibri" w:cs="Calibri"/>
        </w:rPr>
        <w:t xml:space="preserve">, 13 Oct. 2022, </w:t>
      </w:r>
      <w:hyperlink r:id="rId10" w:history="1">
        <w:r w:rsidR="0072603C" w:rsidRPr="00484BAE">
          <w:rPr>
            <w:rStyle w:val="Hyperlink"/>
            <w:rFonts w:ascii="Calibri" w:eastAsia="Calibri" w:hAnsi="Calibri" w:cs="Calibri"/>
          </w:rPr>
          <w:t>www.ncpgambling.org/programs-resources/gift-responsibly-campaign/faq/</w:t>
        </w:r>
      </w:hyperlink>
      <w:r w:rsidRPr="003E61CF">
        <w:rPr>
          <w:rFonts w:ascii="Calibri" w:eastAsia="Calibri" w:hAnsi="Calibri" w:cs="Calibri"/>
        </w:rPr>
        <w:t>.</w:t>
      </w:r>
    </w:p>
    <w:p w14:paraId="6F82C052" w14:textId="7E33FCFD" w:rsidR="0072603C" w:rsidRDefault="0072603C" w:rsidP="005571DD">
      <w:pPr>
        <w:numPr>
          <w:ilvl w:val="0"/>
          <w:numId w:val="1"/>
        </w:numPr>
        <w:ind w:left="1080"/>
        <w:rPr>
          <w:rFonts w:ascii="Calibri" w:eastAsia="Calibri" w:hAnsi="Calibri" w:cs="Calibri"/>
        </w:rPr>
      </w:pPr>
      <w:r w:rsidRPr="0072603C">
        <w:rPr>
          <w:rFonts w:ascii="Calibri" w:eastAsia="Calibri" w:hAnsi="Calibri" w:cs="Calibri"/>
        </w:rPr>
        <w:t>Patricia E. Vance, President. “What Parents Nee</w:t>
      </w:r>
      <w:r>
        <w:rPr>
          <w:rFonts w:ascii="Calibri" w:eastAsia="Calibri" w:hAnsi="Calibri" w:cs="Calibri"/>
        </w:rPr>
        <w:t>d to Know about Loot Boxes &amp;</w:t>
      </w:r>
      <w:r w:rsidRPr="0072603C">
        <w:rPr>
          <w:rFonts w:ascii="Calibri" w:eastAsia="Calibri" w:hAnsi="Calibri" w:cs="Calibri"/>
        </w:rPr>
        <w:t xml:space="preserve"> In-Game </w:t>
      </w:r>
      <w:proofErr w:type="gramStart"/>
      <w:r w:rsidRPr="0072603C">
        <w:rPr>
          <w:rFonts w:ascii="Calibri" w:eastAsia="Calibri" w:hAnsi="Calibri" w:cs="Calibri"/>
        </w:rPr>
        <w:t>Purchases.</w:t>
      </w:r>
      <w:proofErr w:type="gramEnd"/>
      <w:r w:rsidRPr="0072603C">
        <w:rPr>
          <w:rFonts w:ascii="Calibri" w:eastAsia="Calibri" w:hAnsi="Calibri" w:cs="Calibri"/>
        </w:rPr>
        <w:t xml:space="preserve">” </w:t>
      </w:r>
      <w:r w:rsidRPr="005571DD">
        <w:rPr>
          <w:rFonts w:ascii="Calibri" w:eastAsia="Calibri" w:hAnsi="Calibri" w:cs="Calibri"/>
          <w:i/>
        </w:rPr>
        <w:t>ESRB Ratings</w:t>
      </w:r>
      <w:r w:rsidRPr="0072603C">
        <w:rPr>
          <w:rFonts w:ascii="Calibri" w:eastAsia="Calibri" w:hAnsi="Calibri" w:cs="Calibri"/>
        </w:rPr>
        <w:t xml:space="preserve">, 15 Aug. 2023, </w:t>
      </w:r>
      <w:hyperlink r:id="rId11" w:history="1">
        <w:r w:rsidR="004B726B" w:rsidRPr="00484BAE">
          <w:rPr>
            <w:rStyle w:val="Hyperlink"/>
            <w:rFonts w:ascii="Calibri" w:eastAsia="Calibri" w:hAnsi="Calibri" w:cs="Calibri"/>
          </w:rPr>
          <w:t>www.esrb.org/blog/what-parents-need-to-know-about-loot-boxes-and-other-in-game-purchases/</w:t>
        </w:r>
      </w:hyperlink>
      <w:r w:rsidRPr="0072603C">
        <w:rPr>
          <w:rFonts w:ascii="Calibri" w:eastAsia="Calibri" w:hAnsi="Calibri" w:cs="Calibri"/>
        </w:rPr>
        <w:t>.</w:t>
      </w:r>
    </w:p>
    <w:p w14:paraId="765B5689" w14:textId="6E98F6E8" w:rsidR="004B726B" w:rsidRDefault="004B726B" w:rsidP="005571DD">
      <w:pPr>
        <w:numPr>
          <w:ilvl w:val="0"/>
          <w:numId w:val="1"/>
        </w:numPr>
        <w:ind w:left="1080"/>
        <w:rPr>
          <w:rFonts w:ascii="Calibri" w:eastAsia="Calibri" w:hAnsi="Calibri" w:cs="Calibri"/>
        </w:rPr>
      </w:pPr>
      <w:r w:rsidRPr="004B726B">
        <w:rPr>
          <w:rFonts w:ascii="Calibri" w:eastAsia="Calibri" w:hAnsi="Calibri" w:cs="Calibri"/>
        </w:rPr>
        <w:lastRenderedPageBreak/>
        <w:t xml:space="preserve">“ESRB Ratings Guides, Categories, Content Descriptors.” </w:t>
      </w:r>
      <w:r w:rsidRPr="005571DD">
        <w:rPr>
          <w:rFonts w:ascii="Calibri" w:eastAsia="Calibri" w:hAnsi="Calibri" w:cs="Calibri"/>
          <w:i/>
        </w:rPr>
        <w:t>ESRB Ratings</w:t>
      </w:r>
      <w:r w:rsidRPr="004B726B">
        <w:rPr>
          <w:rFonts w:ascii="Calibri" w:eastAsia="Calibri" w:hAnsi="Calibri" w:cs="Calibri"/>
        </w:rPr>
        <w:t xml:space="preserve">, 6 Feb. 2023, </w:t>
      </w:r>
      <w:hyperlink r:id="rId12" w:anchor="rating_cat" w:history="1">
        <w:r w:rsidR="007E004C" w:rsidRPr="00484BAE">
          <w:rPr>
            <w:rStyle w:val="Hyperlink"/>
            <w:rFonts w:ascii="Calibri" w:eastAsia="Calibri" w:hAnsi="Calibri" w:cs="Calibri"/>
          </w:rPr>
          <w:t>www.esrb.org/ratings-guide/#rating_cat</w:t>
        </w:r>
      </w:hyperlink>
      <w:r w:rsidRPr="004B726B">
        <w:rPr>
          <w:rFonts w:ascii="Calibri" w:eastAsia="Calibri" w:hAnsi="Calibri" w:cs="Calibri"/>
        </w:rPr>
        <w:t>.</w:t>
      </w:r>
      <w:r w:rsidR="007E004C">
        <w:rPr>
          <w:rFonts w:ascii="Calibri" w:eastAsia="Calibri" w:hAnsi="Calibri" w:cs="Calibri"/>
        </w:rPr>
        <w:t xml:space="preserve"> </w:t>
      </w:r>
    </w:p>
    <w:sectPr w:rsidR="004B72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907D4"/>
    <w:multiLevelType w:val="multilevel"/>
    <w:tmpl w:val="E23259C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3A242C"/>
    <w:multiLevelType w:val="multilevel"/>
    <w:tmpl w:val="E1E6B4E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3FC0D20"/>
    <w:multiLevelType w:val="hybridMultilevel"/>
    <w:tmpl w:val="8A14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C38B5"/>
    <w:multiLevelType w:val="hybridMultilevel"/>
    <w:tmpl w:val="8C10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323CB"/>
    <w:multiLevelType w:val="multilevel"/>
    <w:tmpl w:val="9C086036"/>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1B42ABE"/>
    <w:multiLevelType w:val="multilevel"/>
    <w:tmpl w:val="0BDC5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1410DE"/>
    <w:multiLevelType w:val="multilevel"/>
    <w:tmpl w:val="6CA8F3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D2"/>
    <w:rsid w:val="00027035"/>
    <w:rsid w:val="00027226"/>
    <w:rsid w:val="001A3A23"/>
    <w:rsid w:val="00346680"/>
    <w:rsid w:val="0034681B"/>
    <w:rsid w:val="003E61CF"/>
    <w:rsid w:val="004A05D2"/>
    <w:rsid w:val="004B726B"/>
    <w:rsid w:val="005571DD"/>
    <w:rsid w:val="00627AD9"/>
    <w:rsid w:val="0072603C"/>
    <w:rsid w:val="007558C6"/>
    <w:rsid w:val="007E004C"/>
    <w:rsid w:val="00891894"/>
    <w:rsid w:val="008D3313"/>
    <w:rsid w:val="008E602B"/>
    <w:rsid w:val="008F4506"/>
    <w:rsid w:val="00986C18"/>
    <w:rsid w:val="009C0800"/>
    <w:rsid w:val="00AE1C6A"/>
    <w:rsid w:val="00CB6323"/>
    <w:rsid w:val="00D87EE6"/>
    <w:rsid w:val="00F5042B"/>
    <w:rsid w:val="00F652E8"/>
    <w:rsid w:val="00F81492"/>
    <w:rsid w:val="00FF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CCF3"/>
  <w15:docId w15:val="{663F2CE9-170B-480D-8832-75DC3305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652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2E8"/>
    <w:rPr>
      <w:rFonts w:ascii="Segoe UI" w:hAnsi="Segoe UI" w:cs="Segoe UI"/>
      <w:sz w:val="18"/>
      <w:szCs w:val="18"/>
    </w:rPr>
  </w:style>
  <w:style w:type="paragraph" w:styleId="ListParagraph">
    <w:name w:val="List Paragraph"/>
    <w:basedOn w:val="Normal"/>
    <w:uiPriority w:val="34"/>
    <w:qFormat/>
    <w:rsid w:val="00986C18"/>
    <w:pPr>
      <w:ind w:left="720"/>
      <w:contextualSpacing/>
    </w:pPr>
  </w:style>
  <w:style w:type="character" w:styleId="Hyperlink">
    <w:name w:val="Hyperlink"/>
    <w:basedOn w:val="DefaultParagraphFont"/>
    <w:uiPriority w:val="99"/>
    <w:unhideWhenUsed/>
    <w:rsid w:val="00986C18"/>
    <w:rPr>
      <w:color w:val="0000FF" w:themeColor="hyperlink"/>
      <w:u w:val="single"/>
    </w:rPr>
  </w:style>
  <w:style w:type="character" w:styleId="CommentReference">
    <w:name w:val="annotation reference"/>
    <w:basedOn w:val="DefaultParagraphFont"/>
    <w:uiPriority w:val="99"/>
    <w:semiHidden/>
    <w:unhideWhenUsed/>
    <w:rsid w:val="00027035"/>
    <w:rPr>
      <w:sz w:val="16"/>
      <w:szCs w:val="16"/>
    </w:rPr>
  </w:style>
  <w:style w:type="paragraph" w:styleId="CommentText">
    <w:name w:val="annotation text"/>
    <w:basedOn w:val="Normal"/>
    <w:link w:val="CommentTextChar"/>
    <w:uiPriority w:val="99"/>
    <w:semiHidden/>
    <w:unhideWhenUsed/>
    <w:rsid w:val="00027035"/>
    <w:pPr>
      <w:spacing w:line="240" w:lineRule="auto"/>
    </w:pPr>
    <w:rPr>
      <w:sz w:val="20"/>
      <w:szCs w:val="20"/>
    </w:rPr>
  </w:style>
  <w:style w:type="character" w:customStyle="1" w:styleId="CommentTextChar">
    <w:name w:val="Comment Text Char"/>
    <w:basedOn w:val="DefaultParagraphFont"/>
    <w:link w:val="CommentText"/>
    <w:uiPriority w:val="99"/>
    <w:semiHidden/>
    <w:rsid w:val="00027035"/>
    <w:rPr>
      <w:sz w:val="20"/>
      <w:szCs w:val="20"/>
    </w:rPr>
  </w:style>
  <w:style w:type="paragraph" w:styleId="CommentSubject">
    <w:name w:val="annotation subject"/>
    <w:basedOn w:val="CommentText"/>
    <w:next w:val="CommentText"/>
    <w:link w:val="CommentSubjectChar"/>
    <w:uiPriority w:val="99"/>
    <w:semiHidden/>
    <w:unhideWhenUsed/>
    <w:rsid w:val="00027035"/>
    <w:rPr>
      <w:b/>
      <w:bCs/>
    </w:rPr>
  </w:style>
  <w:style w:type="character" w:customStyle="1" w:styleId="CommentSubjectChar">
    <w:name w:val="Comment Subject Char"/>
    <w:basedOn w:val="CommentTextChar"/>
    <w:link w:val="CommentSubject"/>
    <w:uiPriority w:val="99"/>
    <w:semiHidden/>
    <w:rsid w:val="00027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witter.com/FL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888AdmitIt/" TargetMode="External"/><Relationship Id="rId12" Type="http://schemas.openxmlformats.org/officeDocument/2006/relationships/hyperlink" Target="http://www.esrb.org/ratings-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ccg@gamblinghelp.org" TargetMode="External"/><Relationship Id="rId11" Type="http://schemas.openxmlformats.org/officeDocument/2006/relationships/hyperlink" Target="http://www.esrb.org/blog/what-parents-need-to-know-about-loot-boxes-and-other-in-game-purchases/" TargetMode="External"/><Relationship Id="rId5" Type="http://schemas.openxmlformats.org/officeDocument/2006/relationships/hyperlink" Target="https://gamblinghelp.org" TargetMode="External"/><Relationship Id="rId10" Type="http://schemas.openxmlformats.org/officeDocument/2006/relationships/hyperlink" Target="http://www.ncpgambling.org/programs-resources/gift-responsibly-campaign/faq/" TargetMode="External"/><Relationship Id="rId4" Type="http://schemas.openxmlformats.org/officeDocument/2006/relationships/webSettings" Target="webSettings.xml"/><Relationship Id="rId9" Type="http://schemas.openxmlformats.org/officeDocument/2006/relationships/hyperlink" Target="http://www.ncpgambling.org/programs-resources/gift-responsibly-campaig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2679</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Institute of CPAs</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Randazzo</cp:lastModifiedBy>
  <cp:revision>11</cp:revision>
  <dcterms:created xsi:type="dcterms:W3CDTF">2023-11-16T21:44:00Z</dcterms:created>
  <dcterms:modified xsi:type="dcterms:W3CDTF">2023-11-21T15:42:00Z</dcterms:modified>
</cp:coreProperties>
</file>